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75859D2" w:rsidR="00D82C18" w:rsidRPr="00B3608C" w:rsidRDefault="00B3608C" w:rsidP="000F7896">
      <w:pPr>
        <w:rPr>
          <w:rFonts w:ascii="Verdana" w:hAnsi="Verdana"/>
        </w:rPr>
      </w:pPr>
      <w:r w:rsidRPr="00B3608C">
        <w:rPr>
          <w:rFonts w:ascii="Verdana" w:hAnsi="Verdana"/>
          <w:sz w:val="28"/>
          <w:szCs w:val="28"/>
        </w:rPr>
        <w:t xml:space="preserve">Lesson </w:t>
      </w:r>
      <w:r w:rsidR="009E1390">
        <w:rPr>
          <w:rFonts w:ascii="Verdana" w:hAnsi="Verdana"/>
          <w:sz w:val="28"/>
          <w:szCs w:val="28"/>
        </w:rPr>
        <w:t>2</w:t>
      </w:r>
      <w:r w:rsidR="00C70C5C">
        <w:rPr>
          <w:rFonts w:ascii="Verdana" w:hAnsi="Verdana"/>
          <w:sz w:val="28"/>
          <w:szCs w:val="28"/>
        </w:rPr>
        <w:t>.</w:t>
      </w:r>
      <w:r w:rsidR="00CA481B">
        <w:rPr>
          <w:rFonts w:ascii="Verdana" w:hAnsi="Verdana"/>
          <w:sz w:val="28"/>
          <w:szCs w:val="28"/>
        </w:rPr>
        <w:t>5</w:t>
      </w:r>
      <w:r w:rsidR="00A439ED">
        <w:rPr>
          <w:rFonts w:ascii="Verdana" w:hAnsi="Verdana"/>
          <w:sz w:val="28"/>
          <w:szCs w:val="28"/>
        </w:rPr>
        <w:t xml:space="preserve"> </w:t>
      </w:r>
      <w:r w:rsidR="004851BE">
        <w:rPr>
          <w:rFonts w:ascii="Verdana" w:hAnsi="Verdana"/>
          <w:sz w:val="28"/>
          <w:szCs w:val="28"/>
        </w:rPr>
        <w:t>(</w:t>
      </w:r>
      <w:r w:rsidR="00FC3D65">
        <w:rPr>
          <w:rFonts w:ascii="Verdana" w:hAnsi="Verdana"/>
          <w:color w:val="000000" w:themeColor="text1"/>
          <w:sz w:val="28"/>
          <w:szCs w:val="28"/>
        </w:rPr>
        <w:t xml:space="preserve">Procedural Powers under </w:t>
      </w:r>
      <w:r w:rsidR="009E1390" w:rsidRPr="009E1390">
        <w:rPr>
          <w:rFonts w:ascii="Verdana" w:hAnsi="Verdana"/>
          <w:color w:val="000000" w:themeColor="text1"/>
          <w:sz w:val="28"/>
          <w:szCs w:val="28"/>
        </w:rPr>
        <w:t xml:space="preserve">the Budapest Convention - Part </w:t>
      </w:r>
      <w:r w:rsidR="00CA481B">
        <w:rPr>
          <w:rFonts w:ascii="Verdana" w:hAnsi="Verdana"/>
          <w:color w:val="000000" w:themeColor="text1"/>
          <w:sz w:val="28"/>
          <w:szCs w:val="28"/>
        </w:rPr>
        <w:t>2</w:t>
      </w:r>
      <w:r w:rsidR="00745A61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0F73A7">
        <w:rPr>
          <w:rFonts w:ascii="Verdana" w:hAnsi="Verdana"/>
          <w:color w:val="000000" w:themeColor="text1"/>
          <w:sz w:val="28"/>
          <w:szCs w:val="28"/>
        </w:rPr>
        <w:t>–</w:t>
      </w:r>
      <w:r w:rsidR="004851BE">
        <w:rPr>
          <w:rFonts w:ascii="Verdana" w:hAnsi="Verdana"/>
          <w:color w:val="000000" w:themeColor="text1"/>
          <w:sz w:val="28"/>
          <w:szCs w:val="28"/>
        </w:rPr>
        <w:t xml:space="preserve"> </w:t>
      </w:r>
      <w:r w:rsidR="000F73A7">
        <w:rPr>
          <w:rFonts w:ascii="Verdana" w:hAnsi="Verdana"/>
          <w:color w:val="000000" w:themeColor="text1"/>
          <w:sz w:val="28"/>
          <w:szCs w:val="28"/>
        </w:rPr>
        <w:t>online version</w:t>
      </w:r>
      <w:r w:rsidR="00745A61">
        <w:rPr>
          <w:rFonts w:ascii="Verdana" w:hAnsi="Verdana"/>
          <w:color w:val="000000" w:themeColor="text1"/>
          <w:sz w:val="28"/>
          <w:szCs w:val="28"/>
        </w:rPr>
        <w:t>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342DA76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9E1390">
              <w:rPr>
                <w:rFonts w:ascii="Verdana" w:hAnsi="Verdana"/>
                <w:sz w:val="22"/>
                <w:szCs w:val="22"/>
              </w:rPr>
              <w:t>2</w:t>
            </w:r>
            <w:r w:rsidR="00C70C5C">
              <w:rPr>
                <w:rFonts w:ascii="Verdana" w:hAnsi="Verdana"/>
                <w:sz w:val="22"/>
                <w:szCs w:val="22"/>
              </w:rPr>
              <w:t>.</w:t>
            </w:r>
            <w:r w:rsidR="00CA481B">
              <w:rPr>
                <w:rFonts w:ascii="Verdana" w:hAnsi="Verdana"/>
                <w:sz w:val="22"/>
                <w:szCs w:val="22"/>
              </w:rPr>
              <w:t>5</w:t>
            </w:r>
            <w:r w:rsidR="00A439E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C3D65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Procedural Powers under the Budapest Convention </w:t>
            </w:r>
            <w:r w:rsidR="009E1390" w:rsidRPr="009E139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- Part </w:t>
            </w:r>
            <w:r w:rsidR="00CA481B">
              <w:rPr>
                <w:rFonts w:ascii="Verdana" w:hAnsi="Verdan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 w:rsidRPr="00D82C18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B382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C115FC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  <w:r w:rsidR="00E13BE7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F7896">
              <w:rPr>
                <w:rFonts w:ascii="Verdana" w:hAnsi="Verdana"/>
                <w:b/>
                <w:sz w:val="22"/>
                <w:szCs w:val="22"/>
              </w:rPr>
              <w:t>Resources Required:</w:t>
            </w:r>
            <w:r w:rsidR="00E13BE7" w:rsidRPr="000F789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7625E15D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after="120" w:line="280" w:lineRule="exact"/>
              <w:contextualSpacing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 xml:space="preserve">PC/Laptop </w:t>
            </w:r>
            <w:r>
              <w:rPr>
                <w:rFonts w:eastAsia="Times New Roman"/>
                <w:szCs w:val="18"/>
                <w:lang w:val="en-GB" w:eastAsia="en-US"/>
              </w:rPr>
              <w:t>loaded with software versions compatible with the prepared materials</w:t>
            </w:r>
          </w:p>
          <w:p w14:paraId="2643AEF0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contextualSpacing/>
              <w:rPr>
                <w:szCs w:val="18"/>
                <w:lang w:val="en-GB"/>
              </w:rPr>
            </w:pPr>
            <w:r>
              <w:rPr>
                <w:szCs w:val="18"/>
                <w:lang w:val="en-GB"/>
              </w:rPr>
              <w:t>Access to the online conferencing software/platform.</w:t>
            </w:r>
          </w:p>
          <w:p w14:paraId="0D9AF44C" w14:textId="77777777" w:rsidR="00EE7785" w:rsidRDefault="00EE7785" w:rsidP="00EE7785">
            <w:pPr>
              <w:pStyle w:val="bul1"/>
              <w:numPr>
                <w:ilvl w:val="0"/>
                <w:numId w:val="6"/>
              </w:numPr>
              <w:spacing w:before="120" w:line="280" w:lineRule="exact"/>
              <w:contextualSpacing/>
              <w:rPr>
                <w:szCs w:val="18"/>
                <w:lang w:val="en-GB"/>
              </w:rPr>
            </w:pPr>
            <w:r>
              <w:rPr>
                <w:bCs/>
                <w:szCs w:val="18"/>
                <w:lang w:val="en-GB"/>
              </w:rPr>
              <w:t xml:space="preserve">Internet access. </w:t>
            </w:r>
          </w:p>
          <w:p w14:paraId="0C9AC98D" w14:textId="77777777" w:rsidR="00EE7785" w:rsidRPr="00DF2563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>
              <w:rPr>
                <w:rFonts w:cs="Helvetica"/>
                <w:szCs w:val="18"/>
              </w:rPr>
              <w:t>Student notepaper and pens</w:t>
            </w:r>
          </w:p>
          <w:p w14:paraId="14CF9EF0" w14:textId="2932D3B5" w:rsidR="000F7896" w:rsidRPr="00A439ED" w:rsidRDefault="00EE7785" w:rsidP="00EE7785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>
              <w:rPr>
                <w:rFonts w:cs="Helvetica"/>
                <w:szCs w:val="18"/>
              </w:rPr>
              <w:t>Copy of the Budapest Convention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Session </w:t>
            </w:r>
            <w:r w:rsidRPr="00A03CF0">
              <w:rPr>
                <w:rFonts w:ascii="Verdana" w:hAnsi="Verdana"/>
                <w:b/>
                <w:sz w:val="22"/>
                <w:szCs w:val="22"/>
              </w:rPr>
              <w:t>Aim: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07BE3037" w:rsidR="00A03CF0" w:rsidRPr="000F7896" w:rsidRDefault="00BA7368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The aim of this session is to </w:t>
            </w:r>
            <w:r w:rsidR="0099769B" w:rsidRPr="0099769B">
              <w:rPr>
                <w:rFonts w:ascii="Verdana" w:eastAsia="Times New Roman" w:hAnsi="Verdana" w:cs="Times New Roman"/>
                <w:sz w:val="18"/>
                <w:szCs w:val="18"/>
              </w:rPr>
              <w:t>provide the participants with a comprehensive understanding of the elements of the procedural powers related to the search and seizure of stored computer data, real-time collection of traffic data and interception of content data, as well as the jurisdictional scope of the Budapest Convention</w:t>
            </w:r>
            <w:r w:rsidR="00FA5D5D">
              <w:rPr>
                <w:rFonts w:ascii="Verdana" w:eastAsia="Times New Roman" w:hAnsi="Verdana" w:cs="Times New Roman"/>
                <w:sz w:val="18"/>
                <w:szCs w:val="18"/>
              </w:rPr>
              <w:t xml:space="preserve">. </w:t>
            </w:r>
            <w:r w:rsidR="0099769B">
              <w:rPr>
                <w:rFonts w:ascii="Verdana" w:eastAsia="Times New Roman" w:hAnsi="Verdana" w:cs="Times New Roman"/>
                <w:sz w:val="18"/>
                <w:szCs w:val="18"/>
              </w:rPr>
              <w:t xml:space="preserve">The session covers, in detail, each element of Article 19 (search and seizure), Article 20 (real-time collection of traffic data), Article 21 (interception of content data) and Article 22 (jurisdiction). </w:t>
            </w:r>
          </w:p>
        </w:tc>
      </w:tr>
      <w:tr w:rsidR="00A03CF0" w:rsidRPr="00D82C18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77777777" w:rsidR="0099769B" w:rsidRPr="00271010" w:rsidRDefault="0099769B" w:rsidP="0099769B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71010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2B3F10F1" w14:textId="77777777" w:rsidR="0099769B" w:rsidRPr="00AC1380" w:rsidRDefault="0099769B" w:rsidP="0099769B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C1380">
              <w:rPr>
                <w:rFonts w:ascii="Verdana" w:eastAsia="Times New Roman" w:hAnsi="Verdana" w:cs="Times New Roman"/>
                <w:sz w:val="18"/>
                <w:szCs w:val="18"/>
              </w:rPr>
              <w:t>By the end of this session delegates will be able to:</w:t>
            </w:r>
          </w:p>
          <w:p w14:paraId="2D79B303" w14:textId="77777777" w:rsidR="00394E20" w:rsidRPr="00394E20" w:rsidRDefault="00FC23CB" w:rsidP="0099769B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394E20">
              <w:rPr>
                <w:lang w:val="en-GB"/>
              </w:rPr>
              <w:t xml:space="preserve">Identify the elements of the procedural powers of:  </w:t>
            </w:r>
          </w:p>
          <w:p w14:paraId="30D53C2E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 xml:space="preserve">Search and seizure of stored computer data </w:t>
            </w:r>
          </w:p>
          <w:p w14:paraId="7F726C20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>Real-time collection of traffic data</w:t>
            </w:r>
          </w:p>
          <w:p w14:paraId="63AB0966" w14:textId="77777777" w:rsidR="0099769B" w:rsidRPr="00192BC7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>Interception of content data</w:t>
            </w:r>
          </w:p>
          <w:p w14:paraId="61ABEAC5" w14:textId="33947EF9" w:rsidR="001E7389" w:rsidRPr="0099769B" w:rsidRDefault="0099769B" w:rsidP="0099769B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>
              <w:rPr>
                <w:lang w:val="en-US"/>
              </w:rPr>
              <w:t>Understand the jurisdictional scope of the Budapest Convention.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2F3B54"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Trainer Guidance</w:t>
            </w:r>
          </w:p>
          <w:p w14:paraId="3D135B9C" w14:textId="4F345744" w:rsidR="0099769B" w:rsidRDefault="0099769B" w:rsidP="0099769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session has been prepared to provide delegates with a comprehensive understanding of the procedural law provisions outlined in Chapter II Section 2. This session has been divided in four parts, in addition to an introduction and a conclusion. The first part covers the search and seizure of stored computer data. The second part covers the real-time collection of traffic data. The third part covers the interception of content data. The fourth part covers the jurisdictional scope of the Budapest Convention. </w:t>
            </w:r>
          </w:p>
          <w:p w14:paraId="5EFF4BEF" w14:textId="7E07476A" w:rsidR="00FC23CB" w:rsidRPr="00E95703" w:rsidRDefault="0099769B" w:rsidP="0099769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Prior to delivery of this session, it is recommended that the trainer review Paragraph 184 – 239 of the </w:t>
            </w:r>
            <w:hyperlink r:id="rId5" w:history="1">
              <w:r w:rsidRPr="00317F0F">
                <w:rPr>
                  <w:rStyle w:val="Hyperlink"/>
                  <w:rFonts w:ascii="Verdana" w:hAnsi="Verdana"/>
                  <w:sz w:val="18"/>
                  <w:szCs w:val="18"/>
                </w:rPr>
                <w:t>Explanatory Report to the Convention on Cybercrime</w:t>
              </w:r>
            </w:hyperlink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CB3026">
              <w:rPr>
                <w:rFonts w:ascii="Verdana" w:hAnsi="Verdana"/>
                <w:b/>
                <w:sz w:val="28"/>
                <w:szCs w:val="28"/>
              </w:rPr>
              <w:lastRenderedPageBreak/>
              <w:t>Lesson Content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to </w:t>
            </w:r>
            <w:r w:rsidR="00C70C5C">
              <w:rPr>
                <w:rFonts w:ascii="Verdana" w:hAnsi="Verdana"/>
                <w:sz w:val="18"/>
                <w:szCs w:val="18"/>
              </w:rPr>
              <w:t>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The opening slides are the introduction to the session and include the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>a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genda and the session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aims and 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objectives.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0CC9FBF4" w:rsidR="00D82C18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3630ED" w:rsidRPr="003630ED">
              <w:rPr>
                <w:rFonts w:ascii="Verdana" w:hAnsi="Verdana"/>
                <w:sz w:val="18"/>
                <w:szCs w:val="18"/>
              </w:rPr>
              <w:t xml:space="preserve"> to </w:t>
            </w:r>
            <w:r w:rsidR="00DD3B85">
              <w:rPr>
                <w:rFonts w:ascii="Verdana" w:hAnsi="Verdana"/>
                <w:sz w:val="18"/>
                <w:szCs w:val="18"/>
              </w:rPr>
              <w:t>22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  <w:r w:rsidR="000D0409">
              <w:rPr>
                <w:rFonts w:ascii="Verdana" w:hAnsi="Verdana"/>
                <w:sz w:val="18"/>
                <w:szCs w:val="18"/>
              </w:rPr>
              <w:t xml:space="preserve"> Slides</w:t>
            </w:r>
          </w:p>
        </w:tc>
        <w:tc>
          <w:tcPr>
            <w:tcW w:w="7485" w:type="dxa"/>
            <w:gridSpan w:val="2"/>
            <w:vAlign w:val="center"/>
          </w:tcPr>
          <w:p w14:paraId="73838076" w14:textId="1A5A96D2" w:rsidR="00E66317" w:rsidRPr="00D01845" w:rsidRDefault="00E66317" w:rsidP="00E66317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254BD5">
              <w:rPr>
                <w:rFonts w:ascii="Verdana" w:eastAsia="Times New Roman" w:hAnsi="Verdana"/>
                <w:szCs w:val="18"/>
              </w:rPr>
              <w:t>These slides explain the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search and seizure of stored computer data </w:t>
            </w:r>
            <w:r w:rsidRPr="00254BD5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19 </w:t>
            </w:r>
            <w:r w:rsidRPr="00254BD5">
              <w:rPr>
                <w:rFonts w:ascii="Verdana" w:eastAsia="Times New Roman" w:hAnsi="Verdana"/>
                <w:szCs w:val="18"/>
              </w:rPr>
              <w:t>of the Budapest Convention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16E41572" w14:textId="5D0A1C62" w:rsidR="00E66317" w:rsidRPr="00D01845" w:rsidRDefault="00E66317" w:rsidP="00E66317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D01845">
              <w:rPr>
                <w:rFonts w:ascii="Verdana" w:eastAsia="Times New Roman" w:hAnsi="Verdana"/>
                <w:szCs w:val="18"/>
              </w:rPr>
              <w:t xml:space="preserve">The first set of slides 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of the Budapest Convention. It also provides </w:t>
            </w:r>
            <w:r>
              <w:rPr>
                <w:rFonts w:ascii="Verdana" w:eastAsia="Times New Roman" w:hAnsi="Verdana"/>
                <w:szCs w:val="18"/>
              </w:rPr>
              <w:t xml:space="preserve">two case studies to demonstrate different ways in which this power has been exercised including seizing physical data storage devices and rendering computer data inaccessible. </w:t>
            </w:r>
          </w:p>
          <w:p w14:paraId="3353DEBD" w14:textId="77777777" w:rsidR="00CB3026" w:rsidRDefault="00E66317" w:rsidP="00E66317">
            <w:pPr>
              <w:pStyle w:val="Subtitle"/>
              <w:spacing w:line="360" w:lineRule="auto"/>
              <w:rPr>
                <w:rFonts w:ascii="Verdana" w:eastAsia="Times New Roman" w:hAnsi="Verdana"/>
                <w:szCs w:val="18"/>
              </w:rPr>
            </w:pPr>
            <w:r w:rsidRPr="00D01845">
              <w:rPr>
                <w:rFonts w:ascii="Verdana" w:eastAsia="Times New Roman" w:hAnsi="Verdana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>of the Budapest Convention.</w:t>
            </w:r>
          </w:p>
          <w:p w14:paraId="649FEA68" w14:textId="57435659" w:rsidR="00DD3B85" w:rsidRPr="00DD3B85" w:rsidRDefault="00DD3B85" w:rsidP="00DD3B85">
            <w:pPr>
              <w:spacing w:after="240"/>
            </w:pPr>
            <w:r>
              <w:rPr>
                <w:rFonts w:ascii="Verdana" w:hAnsi="Verdana"/>
                <w:sz w:val="18"/>
                <w:szCs w:val="18"/>
              </w:rPr>
              <w:t>This part ends with two poll questions.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73D1641A" w:rsidR="00556D69" w:rsidRDefault="00DD3B85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23 </w:t>
            </w:r>
            <w:r w:rsidR="00FE45CA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33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Mandatory </w:t>
            </w:r>
            <w:r w:rsidR="00C70C5C">
              <w:rPr>
                <w:rFonts w:ascii="Verdana" w:hAnsi="Verdana"/>
                <w:sz w:val="18"/>
                <w:szCs w:val="18"/>
              </w:rPr>
              <w:t>Slides</w:t>
            </w:r>
          </w:p>
        </w:tc>
        <w:tc>
          <w:tcPr>
            <w:tcW w:w="7485" w:type="dxa"/>
            <w:gridSpan w:val="2"/>
            <w:vAlign w:val="center"/>
          </w:tcPr>
          <w:p w14:paraId="46AACDEB" w14:textId="135C749A" w:rsidR="00E66317" w:rsidRPr="00E66317" w:rsidRDefault="00E66317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 xml:space="preserve">These slides explain the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real-time collection of traffic data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21AA9A06" w14:textId="7E68E365" w:rsidR="00E66317" w:rsidRPr="00E66317" w:rsidRDefault="00E66317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>The first slide</w:t>
            </w:r>
            <w:r>
              <w:rPr>
                <w:rFonts w:ascii="Verdana" w:eastAsia="Times New Roman" w:hAnsi="Verdana"/>
                <w:szCs w:val="18"/>
              </w:rPr>
              <w:t xml:space="preserve">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09B58FC0" w14:textId="5A30C9B8" w:rsidR="00C70C5C" w:rsidRPr="00C70C5C" w:rsidRDefault="00E66317" w:rsidP="001737D1">
            <w:pPr>
              <w:spacing w:line="360" w:lineRule="auto"/>
              <w:jc w:val="both"/>
            </w:pPr>
            <w:r w:rsidRPr="00E66317">
              <w:rPr>
                <w:rFonts w:ascii="Verdana" w:eastAsia="Times New Roman" w:hAnsi="Verdana"/>
                <w:sz w:val="18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/>
                <w:sz w:val="18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 w:val="18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/>
                <w:sz w:val="18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 w:val="18"/>
                <w:szCs w:val="18"/>
              </w:rPr>
              <w:t>of the Budapest Convention.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7B479310" w:rsidR="00556D69" w:rsidRDefault="00DD3B85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34 </w:t>
            </w:r>
            <w:r w:rsidR="00844FBF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48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5B3BAF8A" w:rsidR="001737D1" w:rsidRPr="001737D1" w:rsidRDefault="001737D1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1737D1">
              <w:rPr>
                <w:rFonts w:ascii="Verdana" w:eastAsia="Times New Roman" w:hAnsi="Verdana"/>
                <w:szCs w:val="18"/>
              </w:rPr>
              <w:t xml:space="preserve">These slides explain the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the interception of content data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1A1C3008" w14:textId="4D29001A" w:rsidR="001737D1" w:rsidRPr="001737D1" w:rsidRDefault="001737D1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1737D1">
              <w:rPr>
                <w:rFonts w:ascii="Verdana" w:eastAsia="Times New Roman" w:hAnsi="Verdana"/>
                <w:szCs w:val="18"/>
              </w:rPr>
              <w:t xml:space="preserve">The first set of slides 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of the Budapest Convention. It also provides </w:t>
            </w:r>
            <w:r w:rsidR="00B807DF">
              <w:rPr>
                <w:rFonts w:ascii="Verdana" w:eastAsia="Times New Roman" w:hAnsi="Verdana"/>
                <w:szCs w:val="18"/>
              </w:rPr>
              <w:t>a case study of the interception of content data in relation to a crime chat network that was being used by tens of thousands of criminals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0A62EEAE" w14:textId="77777777" w:rsidR="00C70C5C" w:rsidRDefault="001737D1" w:rsidP="001737D1">
            <w:pPr>
              <w:spacing w:line="360" w:lineRule="auto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1737D1">
              <w:rPr>
                <w:rFonts w:ascii="Verdana" w:eastAsia="Times New Roman" w:hAnsi="Verdana"/>
                <w:sz w:val="18"/>
                <w:szCs w:val="18"/>
              </w:rPr>
              <w:t xml:space="preserve">The next set of slides have been divided into two columns. The column on the left-hand side replicates the text of Article </w:t>
            </w:r>
            <w:r w:rsidR="00B807DF">
              <w:rPr>
                <w:rFonts w:ascii="Verdana" w:eastAsia="Times New Roman" w:hAnsi="Verdana"/>
                <w:iCs/>
                <w:sz w:val="18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 w:val="18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B807DF">
              <w:rPr>
                <w:rFonts w:ascii="Verdana" w:eastAsia="Times New Roman" w:hAnsi="Verdana"/>
                <w:iCs/>
                <w:sz w:val="18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 w:val="18"/>
                <w:szCs w:val="18"/>
              </w:rPr>
              <w:t>of the Budapest Convention.</w:t>
            </w:r>
          </w:p>
          <w:p w14:paraId="4AF5B3D7" w14:textId="106B4C80" w:rsidR="00DD3B85" w:rsidRPr="00C70C5C" w:rsidRDefault="00DD3B85" w:rsidP="001737D1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part ends with one poll question.</w:t>
            </w:r>
          </w:p>
        </w:tc>
      </w:tr>
      <w:tr w:rsidR="00CA481B" w:rsidRPr="00D82C18" w14:paraId="3ECBAC2B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46472C8E" w14:textId="06BDB1EF" w:rsidR="00CA481B" w:rsidRDefault="00DD3B85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49 </w:t>
            </w:r>
            <w:r w:rsidR="00CA481B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56</w:t>
            </w:r>
          </w:p>
          <w:p w14:paraId="74E2783E" w14:textId="338530D5" w:rsidR="00CA481B" w:rsidRDefault="00CA481B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440353EC" w:rsidR="00E27C71" w:rsidRPr="00E66317" w:rsidRDefault="00E27C71" w:rsidP="00E27C7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 xml:space="preserve">These slides explain the </w:t>
            </w:r>
            <w:r>
              <w:rPr>
                <w:rFonts w:ascii="Verdana" w:eastAsia="Times New Roman" w:hAnsi="Verdana"/>
                <w:szCs w:val="18"/>
              </w:rPr>
              <w:t>jurisdictional scope of the Budapest Convention as outlined in Article 22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0B5729F2" w14:textId="4CF22B52" w:rsidR="00E27C71" w:rsidRPr="00E66317" w:rsidRDefault="00E27C71" w:rsidP="00E27C7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>The first slide</w:t>
            </w:r>
            <w:r>
              <w:rPr>
                <w:rFonts w:ascii="Verdana" w:eastAsia="Times New Roman" w:hAnsi="Verdana"/>
                <w:szCs w:val="18"/>
              </w:rPr>
              <w:t xml:space="preserve">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provides a summary of the </w:t>
            </w:r>
            <w:r>
              <w:rPr>
                <w:rFonts w:ascii="Verdana" w:eastAsia="Times New Roman" w:hAnsi="Verdana"/>
                <w:szCs w:val="18"/>
              </w:rPr>
              <w:t xml:space="preserve">jurisdictional scope provided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2F2BCFB2" w14:textId="28670B0C" w:rsidR="00CA481B" w:rsidRDefault="00E27C71" w:rsidP="00E27C71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>of the Budapest Convention.</w:t>
            </w:r>
          </w:p>
        </w:tc>
      </w:tr>
      <w:tr w:rsidR="00CA481B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5FB35142" w:rsidR="00CA481B" w:rsidRDefault="00DD3B85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56 </w:t>
            </w:r>
            <w:r w:rsidR="00CA481B" w:rsidRPr="006527C6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58</w:t>
            </w:r>
          </w:p>
          <w:p w14:paraId="5DE9D224" w14:textId="2175AE8F" w:rsidR="00CA481B" w:rsidRPr="006527C6" w:rsidRDefault="00CA481B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Important Slides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DB8BFB8" w:rsidR="00CA481B" w:rsidRPr="00314D32" w:rsidRDefault="00221092" w:rsidP="00CA481B">
            <w:pPr>
              <w:pStyle w:val="Subtitle"/>
              <w:spacing w:line="360" w:lineRule="auto"/>
            </w:pPr>
            <w:r>
              <w:rPr>
                <w:rFonts w:ascii="Verdana" w:eastAsia="Times New Roman" w:hAnsi="Verdana" w:cs="Times New Roman"/>
                <w:szCs w:val="18"/>
              </w:rPr>
              <w:t>The trainer should recap the session objectives with the delegates and give them the opportunity to ask any questions relating to the materials covered in this module.</w:t>
            </w:r>
          </w:p>
        </w:tc>
      </w:tr>
      <w:tr w:rsidR="00CA481B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A481B" w:rsidRDefault="00CA481B" w:rsidP="00CA481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CB3026">
              <w:rPr>
                <w:rFonts w:ascii="Verdana" w:hAnsi="Verdana"/>
                <w:b/>
                <w:sz w:val="22"/>
                <w:szCs w:val="22"/>
              </w:rPr>
              <w:t>Practical Exercises</w:t>
            </w:r>
          </w:p>
          <w:p w14:paraId="04D65D89" w14:textId="53DBD58E" w:rsidR="00CA481B" w:rsidRPr="00CB3026" w:rsidRDefault="00CA481B" w:rsidP="00CA481B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There are no practical exercises associated with this lesson.</w:t>
            </w:r>
          </w:p>
        </w:tc>
      </w:tr>
      <w:tr w:rsidR="00CA481B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A481B" w:rsidRDefault="00CA481B" w:rsidP="00CA481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1B3740FD" w:rsidR="00CA481B" w:rsidRPr="00CB3026" w:rsidRDefault="00CA481B" w:rsidP="00CA481B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>No k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nowledge check or assessment has been requested for</w:t>
            </w: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this session.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160F1"/>
    <w:rsid w:val="00051376"/>
    <w:rsid w:val="000C40EE"/>
    <w:rsid w:val="000D0409"/>
    <w:rsid w:val="000F04E4"/>
    <w:rsid w:val="000F73A7"/>
    <w:rsid w:val="000F7896"/>
    <w:rsid w:val="001737D1"/>
    <w:rsid w:val="001D2D02"/>
    <w:rsid w:val="001D603D"/>
    <w:rsid w:val="001E7389"/>
    <w:rsid w:val="00207B05"/>
    <w:rsid w:val="00221092"/>
    <w:rsid w:val="00271010"/>
    <w:rsid w:val="002E27B4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37AF3"/>
    <w:rsid w:val="00450007"/>
    <w:rsid w:val="00457DD3"/>
    <w:rsid w:val="004851BE"/>
    <w:rsid w:val="00491C99"/>
    <w:rsid w:val="004B5101"/>
    <w:rsid w:val="004B7351"/>
    <w:rsid w:val="00514FE0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45A61"/>
    <w:rsid w:val="0075334E"/>
    <w:rsid w:val="007678A6"/>
    <w:rsid w:val="00775CE6"/>
    <w:rsid w:val="007E3B3E"/>
    <w:rsid w:val="00844FBF"/>
    <w:rsid w:val="008817F1"/>
    <w:rsid w:val="008A4C93"/>
    <w:rsid w:val="008C3900"/>
    <w:rsid w:val="008E3FE7"/>
    <w:rsid w:val="00906F18"/>
    <w:rsid w:val="00951791"/>
    <w:rsid w:val="00956062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807DF"/>
    <w:rsid w:val="00BA7368"/>
    <w:rsid w:val="00C115FC"/>
    <w:rsid w:val="00C541A2"/>
    <w:rsid w:val="00C70C5C"/>
    <w:rsid w:val="00C83397"/>
    <w:rsid w:val="00CA481B"/>
    <w:rsid w:val="00CB02C4"/>
    <w:rsid w:val="00CB3026"/>
    <w:rsid w:val="00CC1F79"/>
    <w:rsid w:val="00D82C18"/>
    <w:rsid w:val="00DD3B85"/>
    <w:rsid w:val="00E13BE7"/>
    <w:rsid w:val="00E27C71"/>
    <w:rsid w:val="00E66317"/>
    <w:rsid w:val="00E7344B"/>
    <w:rsid w:val="00E95703"/>
    <w:rsid w:val="00EE7785"/>
    <w:rsid w:val="00F1574D"/>
    <w:rsid w:val="00F504D6"/>
    <w:rsid w:val="00F62A15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5</cp:revision>
  <dcterms:created xsi:type="dcterms:W3CDTF">2020-10-14T12:56:00Z</dcterms:created>
  <dcterms:modified xsi:type="dcterms:W3CDTF">2020-10-14T14:46:00Z</dcterms:modified>
</cp:coreProperties>
</file>